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38172ABD"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bookmarkStart w:id="2" w:name="_GoBack"/>
      <w:bookmarkEnd w:id="2"/>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BA2197">
        <w:rPr>
          <w:rFonts w:ascii="Arial" w:hAnsi="Arial" w:cs="Arial"/>
          <w:b/>
          <w:bCs/>
          <w:kern w:val="0"/>
          <w:sz w:val="28"/>
          <w:lang w:val="en-GB"/>
        </w:rPr>
        <w:t>8</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E82AFB">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70254</w:t>
      </w:r>
      <w:r w:rsidR="006672DD">
        <w:rPr>
          <w:rFonts w:ascii="Arial" w:hAnsi="Arial" w:cs="Arial"/>
          <w:b/>
          <w:bCs/>
          <w:kern w:val="0"/>
          <w:sz w:val="28"/>
          <w:lang w:val="en-GB"/>
        </w:rPr>
        <w:t>9</w:t>
      </w:r>
    </w:p>
    <w:p w14:paraId="5E28362B" w14:textId="63B1E66B" w:rsidR="003A1AFA" w:rsidRPr="000946EF" w:rsidRDefault="00CD5FBC" w:rsidP="003A1AFA">
      <w:pPr>
        <w:tabs>
          <w:tab w:val="center" w:pos="4536"/>
          <w:tab w:val="right" w:pos="9072"/>
        </w:tabs>
        <w:jc w:val="left"/>
        <w:rPr>
          <w:rFonts w:ascii="Arial" w:hAnsi="Arial" w:cs="Arial"/>
          <w:b/>
          <w:bCs/>
          <w:kern w:val="0"/>
          <w:sz w:val="28"/>
        </w:rPr>
      </w:pPr>
      <w:r>
        <w:rPr>
          <w:rFonts w:ascii="Arial" w:hAnsi="Arial" w:cs="Arial"/>
          <w:b/>
          <w:bCs/>
          <w:kern w:val="0"/>
          <w:sz w:val="28"/>
        </w:rPr>
        <w:t>Athens, Greece</w:t>
      </w:r>
      <w:r w:rsidR="00A622BD">
        <w:rPr>
          <w:rFonts w:ascii="Arial" w:hAnsi="Arial" w:cs="Arial"/>
          <w:b/>
          <w:bCs/>
          <w:kern w:val="0"/>
          <w:sz w:val="28"/>
        </w:rPr>
        <w:t xml:space="preserve">, </w:t>
      </w:r>
      <w:r w:rsidRPr="000946EF">
        <w:rPr>
          <w:rFonts w:ascii="Arial" w:hAnsi="Arial" w:cs="Arial"/>
          <w:b/>
          <w:bCs/>
          <w:kern w:val="0"/>
          <w:sz w:val="28"/>
        </w:rPr>
        <w:t>1</w:t>
      </w:r>
      <w:r>
        <w:rPr>
          <w:rFonts w:ascii="Arial" w:hAnsi="Arial" w:cs="Arial"/>
          <w:b/>
          <w:bCs/>
          <w:kern w:val="0"/>
          <w:sz w:val="28"/>
        </w:rPr>
        <w:t>3</w:t>
      </w:r>
      <w:r w:rsidRPr="000946EF">
        <w:rPr>
          <w:rFonts w:ascii="Arial" w:hAnsi="Arial" w:cs="Arial"/>
          <w:b/>
          <w:bCs/>
          <w:kern w:val="0"/>
          <w:sz w:val="28"/>
          <w:vertAlign w:val="superscript"/>
        </w:rPr>
        <w:t>th</w:t>
      </w:r>
      <w:r>
        <w:rPr>
          <w:rFonts w:ascii="Arial" w:hAnsi="Arial" w:cs="Arial"/>
          <w:b/>
          <w:bCs/>
          <w:kern w:val="0"/>
          <w:sz w:val="28"/>
        </w:rPr>
        <w:t xml:space="preserve"> </w:t>
      </w:r>
      <w:r w:rsidR="00A622BD">
        <w:rPr>
          <w:rFonts w:ascii="Arial" w:hAnsi="Arial" w:cs="Arial"/>
          <w:b/>
          <w:bCs/>
          <w:kern w:val="0"/>
          <w:sz w:val="28"/>
        </w:rPr>
        <w:t xml:space="preserve">– </w:t>
      </w:r>
      <w:r>
        <w:rPr>
          <w:rFonts w:ascii="Arial" w:hAnsi="Arial" w:cs="Arial"/>
          <w:b/>
          <w:bCs/>
          <w:kern w:val="0"/>
          <w:sz w:val="28"/>
        </w:rPr>
        <w:t>17</w:t>
      </w:r>
      <w:r w:rsidRPr="00A622BD">
        <w:rPr>
          <w:rFonts w:ascii="Arial" w:hAnsi="Arial" w:cs="Arial"/>
          <w:b/>
          <w:bCs/>
          <w:kern w:val="0"/>
          <w:sz w:val="28"/>
          <w:vertAlign w:val="superscript"/>
        </w:rPr>
        <w:t>th</w:t>
      </w:r>
      <w:r>
        <w:rPr>
          <w:rFonts w:ascii="Arial" w:hAnsi="Arial" w:cs="Arial"/>
          <w:b/>
          <w:bCs/>
          <w:kern w:val="0"/>
          <w:sz w:val="28"/>
        </w:rPr>
        <w:t xml:space="preserve"> February</w:t>
      </w:r>
      <w:r w:rsidRPr="000946EF">
        <w:rPr>
          <w:rFonts w:ascii="Arial" w:hAnsi="Arial" w:cs="Arial"/>
          <w:b/>
          <w:bCs/>
          <w:kern w:val="0"/>
          <w:sz w:val="28"/>
        </w:rPr>
        <w:t xml:space="preserve"> </w:t>
      </w:r>
      <w:r>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18B4C2E4"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C93E79">
        <w:rPr>
          <w:rFonts w:ascii="Arial" w:hAnsi="Arial" w:cs="Arial"/>
          <w:snapToGrid w:val="0"/>
          <w:sz w:val="24"/>
        </w:rPr>
        <w:t>7.2.</w:t>
      </w:r>
      <w:r w:rsidR="006672DD">
        <w:rPr>
          <w:rFonts w:ascii="Arial" w:hAnsi="Arial" w:cs="Arial"/>
          <w:snapToGrid w:val="0"/>
          <w:sz w:val="24"/>
        </w:rPr>
        <w:t>4</w:t>
      </w:r>
      <w:r w:rsidR="00C93E79">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7531D5"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2139FB" w:rsidRPr="000946EF">
        <w:rPr>
          <w:rFonts w:ascii="Arial" w:hAnsi="Arial" w:cs="Arial"/>
          <w:snapToGrid w:val="0"/>
          <w:sz w:val="24"/>
        </w:rPr>
        <w:t>Support of multicast</w:t>
      </w:r>
    </w:p>
    <w:p w14:paraId="66CE35E8" w14:textId="77777777"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17EC20F" w14:textId="77777777" w:rsidR="00A33CDB" w:rsidRPr="000A7AA6" w:rsidRDefault="00A33CDB" w:rsidP="00A33CDB">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 xml:space="preserve">In RAN#72 a new work item (WI) named </w:t>
      </w:r>
      <w:r w:rsidRPr="000A7AA6">
        <w:rPr>
          <w:rFonts w:ascii="Times New Roman"/>
          <w:i/>
          <w:snapToGrid w:val="0"/>
          <w:sz w:val="22"/>
          <w:szCs w:val="22"/>
          <w:lang w:val="en-GB"/>
        </w:rPr>
        <w:t xml:space="preserve">enhancements of NB-IoT </w:t>
      </w:r>
      <w:r w:rsidRPr="000A7AA6">
        <w:rPr>
          <w:rFonts w:ascii="Times New Roman"/>
          <w:snapToGrid w:val="0"/>
          <w:sz w:val="22"/>
          <w:szCs w:val="22"/>
          <w:lang w:val="en-GB"/>
        </w:rPr>
        <w:t xml:space="preserve"> [1] was introduced. The objectives of the WI include the support of positioning, multicast, non-anchor PRB enhancements, mobility and new power classes.</w:t>
      </w:r>
    </w:p>
    <w:p w14:paraId="66E779A9" w14:textId="77777777" w:rsidR="00A33CDB" w:rsidRPr="000946EF" w:rsidRDefault="00A33CDB" w:rsidP="00A33CDB">
      <w:pPr>
        <w:overflowPunct w:val="0"/>
        <w:adjustRightInd w:val="0"/>
        <w:spacing w:after="120"/>
        <w:contextualSpacing/>
        <w:textAlignment w:val="baseline"/>
        <w:rPr>
          <w:rFonts w:ascii="Times New Roman"/>
          <w:snapToGrid w:val="0"/>
          <w:kern w:val="0"/>
          <w:sz w:val="22"/>
          <w:szCs w:val="22"/>
          <w:lang w:val="en-GB"/>
        </w:rPr>
      </w:pPr>
    </w:p>
    <w:p w14:paraId="59333BC8" w14:textId="7218C3A0" w:rsidR="00A33CDB" w:rsidRDefault="00A33CDB" w:rsidP="00A33CDB">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RAN1#87, the following working assumptions were agreed</w:t>
      </w:r>
      <w:r w:rsidR="008F7898">
        <w:rPr>
          <w:rFonts w:ascii="Times New Roman"/>
          <w:snapToGrid w:val="0"/>
          <w:kern w:val="0"/>
          <w:sz w:val="22"/>
          <w:szCs w:val="22"/>
          <w:lang w:val="en-GB"/>
        </w:rPr>
        <w:t xml:space="preserve"> [</w:t>
      </w:r>
      <w:r w:rsidR="00E0095B">
        <w:rPr>
          <w:rFonts w:ascii="Times New Roman"/>
          <w:snapToGrid w:val="0"/>
          <w:kern w:val="0"/>
          <w:sz w:val="22"/>
          <w:szCs w:val="22"/>
          <w:lang w:val="en-GB"/>
        </w:rPr>
        <w:t>3</w:t>
      </w:r>
      <w:r>
        <w:rPr>
          <w:rFonts w:ascii="Times New Roman"/>
          <w:snapToGrid w:val="0"/>
          <w:kern w:val="0"/>
          <w:sz w:val="22"/>
          <w:szCs w:val="22"/>
          <w:lang w:val="en-GB"/>
        </w:rPr>
        <w:t>]:</w:t>
      </w:r>
    </w:p>
    <w:p w14:paraId="1D895D5F" w14:textId="77777777" w:rsidR="00A33CDB" w:rsidRPr="00F1469D" w:rsidRDefault="00A33CDB" w:rsidP="00A33CDB">
      <w:pPr>
        <w:overflowPunct w:val="0"/>
        <w:adjustRightInd w:val="0"/>
        <w:spacing w:after="120"/>
        <w:contextualSpacing/>
        <w:textAlignment w:val="baseline"/>
        <w:rPr>
          <w:rFonts w:ascii="Times New Roman"/>
          <w:snapToGrid w:val="0"/>
          <w:kern w:val="0"/>
          <w:sz w:val="22"/>
          <w:szCs w:val="22"/>
          <w:lang w:val="en-GB"/>
        </w:rPr>
      </w:pPr>
    </w:p>
    <w:p w14:paraId="39CFC6B3" w14:textId="77777777" w:rsidR="00A33CDB" w:rsidRDefault="00A33CDB" w:rsidP="00A33CDB">
      <w:pPr>
        <w:rPr>
          <w:rFonts w:ascii="Times New Roman"/>
          <w:sz w:val="22"/>
          <w:szCs w:val="22"/>
          <w:lang w:eastAsia="ja-JP"/>
        </w:rPr>
      </w:pPr>
      <w:r w:rsidRPr="00071114">
        <w:rPr>
          <w:rFonts w:ascii="Times New Roman"/>
          <w:sz w:val="22"/>
          <w:szCs w:val="22"/>
          <w:lang w:eastAsia="ja-JP"/>
        </w:rPr>
        <w:t>Agreements:</w:t>
      </w:r>
    </w:p>
    <w:p w14:paraId="1CA3CD59" w14:textId="34AC44EB" w:rsidR="00B5424C" w:rsidRPr="007F4BC3" w:rsidRDefault="00B5424C" w:rsidP="00B5424C">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t>UE monitoring of blind decoding candidates of Type1-MSS (SC-MCCH) is the same as the UE mon</w:t>
      </w:r>
      <w:r>
        <w:rPr>
          <w:rFonts w:eastAsia="MS Mincho"/>
          <w:iCs/>
          <w:lang w:eastAsia="ja-JP"/>
        </w:rPr>
        <w:t>itoring behaviour of Type1-CSS</w:t>
      </w:r>
    </w:p>
    <w:p w14:paraId="246DC2E0" w14:textId="5AC69A6A" w:rsidR="00B5424C" w:rsidRPr="00E0095B" w:rsidRDefault="00B5424C" w:rsidP="00E0095B">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t>UE monitoring of blind decoding candidates of Type2-MSS (SC-MTCH) is the same as the UE mon</w:t>
      </w:r>
      <w:r>
        <w:rPr>
          <w:rFonts w:eastAsia="MS Mincho"/>
          <w:iCs/>
          <w:lang w:eastAsia="ja-JP"/>
        </w:rPr>
        <w:t>itoring behaviour of Type2-CSS</w:t>
      </w:r>
    </w:p>
    <w:p w14:paraId="21D9DF86" w14:textId="77777777" w:rsidR="00B5424C" w:rsidRPr="007F4BC3" w:rsidRDefault="00B5424C" w:rsidP="00B5424C">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t>At least the following fields are introduced in DCI formats for scheduling NPDSCH carrying SC-MCCH/SC-MTCH:</w:t>
      </w:r>
    </w:p>
    <w:p w14:paraId="3E60CA7B" w14:textId="77777777" w:rsidR="00B5424C" w:rsidRPr="007F4BC3" w:rsidRDefault="00B5424C" w:rsidP="00E0095B">
      <w:pPr>
        <w:widowControl/>
        <w:numPr>
          <w:ilvl w:val="1"/>
          <w:numId w:val="30"/>
        </w:numPr>
        <w:wordWrap/>
        <w:autoSpaceDE/>
        <w:autoSpaceDN/>
        <w:jc w:val="left"/>
        <w:rPr>
          <w:rFonts w:eastAsia="MS Mincho"/>
          <w:iCs/>
          <w:lang w:eastAsia="ja-JP"/>
        </w:rPr>
      </w:pPr>
      <w:r w:rsidRPr="007F4BC3">
        <w:rPr>
          <w:rFonts w:eastAsia="MS Mincho"/>
          <w:iCs/>
          <w:lang w:eastAsia="ja-JP"/>
        </w:rPr>
        <w:t>Resource assignment: 3 bits, indicate I</w:t>
      </w:r>
      <w:r w:rsidRPr="00B5424C">
        <w:rPr>
          <w:rFonts w:eastAsia="MS Mincho"/>
          <w:iCs/>
          <w:lang w:eastAsia="ja-JP"/>
        </w:rPr>
        <w:t xml:space="preserve">SF </w:t>
      </w:r>
      <w:r w:rsidRPr="007F4BC3">
        <w:rPr>
          <w:rFonts w:eastAsia="MS Mincho"/>
          <w:iCs/>
          <w:lang w:eastAsia="ja-JP"/>
        </w:rPr>
        <w:t xml:space="preserve"> value and reuse the mapping from I</w:t>
      </w:r>
      <w:r w:rsidRPr="00B5424C">
        <w:rPr>
          <w:rFonts w:eastAsia="MS Mincho"/>
          <w:iCs/>
          <w:lang w:eastAsia="ja-JP"/>
        </w:rPr>
        <w:t>SF</w:t>
      </w:r>
      <w:r w:rsidRPr="007F4BC3">
        <w:rPr>
          <w:rFonts w:eastAsia="MS Mincho"/>
          <w:iCs/>
          <w:lang w:eastAsia="ja-JP"/>
        </w:rPr>
        <w:t xml:space="preserve"> to N</w:t>
      </w:r>
      <w:r w:rsidRPr="00B5424C">
        <w:rPr>
          <w:rFonts w:eastAsia="MS Mincho"/>
          <w:iCs/>
          <w:lang w:eastAsia="ja-JP"/>
        </w:rPr>
        <w:t>SF</w:t>
      </w:r>
      <w:r w:rsidRPr="007F4BC3">
        <w:rPr>
          <w:rFonts w:eastAsia="MS Mincho"/>
          <w:iCs/>
          <w:lang w:eastAsia="ja-JP"/>
        </w:rPr>
        <w:t>.</w:t>
      </w:r>
    </w:p>
    <w:p w14:paraId="2244B05F" w14:textId="77777777" w:rsidR="00B5424C" w:rsidRPr="007F4BC3" w:rsidRDefault="00B5424C" w:rsidP="00E0095B">
      <w:pPr>
        <w:widowControl/>
        <w:numPr>
          <w:ilvl w:val="1"/>
          <w:numId w:val="30"/>
        </w:numPr>
        <w:wordWrap/>
        <w:autoSpaceDE/>
        <w:autoSpaceDN/>
        <w:jc w:val="left"/>
        <w:rPr>
          <w:rFonts w:eastAsia="MS Mincho"/>
          <w:iCs/>
          <w:lang w:eastAsia="ja-JP"/>
        </w:rPr>
      </w:pPr>
      <w:r w:rsidRPr="007F4BC3">
        <w:rPr>
          <w:rFonts w:eastAsia="MS Mincho"/>
          <w:iCs/>
          <w:lang w:eastAsia="ja-JP"/>
        </w:rPr>
        <w:t>Modulation and coding scheme: 4 bits, indicate I</w:t>
      </w:r>
      <w:r w:rsidRPr="00B5424C">
        <w:rPr>
          <w:rFonts w:eastAsia="MS Mincho"/>
          <w:iCs/>
          <w:lang w:eastAsia="ja-JP"/>
        </w:rPr>
        <w:t xml:space="preserve">MCS </w:t>
      </w:r>
      <w:r w:rsidRPr="007F4BC3">
        <w:rPr>
          <w:rFonts w:eastAsia="MS Mincho"/>
          <w:iCs/>
          <w:lang w:eastAsia="ja-JP"/>
        </w:rPr>
        <w:t xml:space="preserve"> value and use the Rel-14 mapping from I</w:t>
      </w:r>
      <w:r w:rsidRPr="00B5424C">
        <w:rPr>
          <w:rFonts w:eastAsia="MS Mincho"/>
          <w:iCs/>
          <w:lang w:eastAsia="ja-JP"/>
        </w:rPr>
        <w:t>MCS</w:t>
      </w:r>
      <w:r w:rsidRPr="007F4BC3">
        <w:rPr>
          <w:rFonts w:eastAsia="MS Mincho"/>
          <w:iCs/>
          <w:lang w:eastAsia="ja-JP"/>
        </w:rPr>
        <w:t xml:space="preserve"> to modulation scheme and TBS.</w:t>
      </w:r>
    </w:p>
    <w:p w14:paraId="402EDE44" w14:textId="77777777" w:rsidR="00B5424C" w:rsidRPr="007F4BC3" w:rsidRDefault="00B5424C" w:rsidP="00E0095B">
      <w:pPr>
        <w:widowControl/>
        <w:numPr>
          <w:ilvl w:val="1"/>
          <w:numId w:val="30"/>
        </w:numPr>
        <w:wordWrap/>
        <w:autoSpaceDE/>
        <w:autoSpaceDN/>
        <w:jc w:val="left"/>
        <w:rPr>
          <w:rFonts w:eastAsia="MS Mincho"/>
          <w:iCs/>
          <w:lang w:eastAsia="ja-JP"/>
        </w:rPr>
      </w:pPr>
      <w:r w:rsidRPr="007F4BC3">
        <w:rPr>
          <w:rFonts w:eastAsia="MS Mincho"/>
          <w:iCs/>
          <w:lang w:eastAsia="ja-JP"/>
        </w:rPr>
        <w:t>Repetition number: 4 bits, Indicate I</w:t>
      </w:r>
      <w:r w:rsidRPr="00B5424C">
        <w:rPr>
          <w:rFonts w:eastAsia="MS Mincho"/>
          <w:iCs/>
          <w:lang w:eastAsia="ja-JP"/>
        </w:rPr>
        <w:t>rep</w:t>
      </w:r>
      <w:r w:rsidRPr="007F4BC3">
        <w:rPr>
          <w:rFonts w:eastAsia="MS Mincho"/>
          <w:iCs/>
          <w:lang w:eastAsia="ja-JP"/>
        </w:rPr>
        <w:t xml:space="preserve"> value and reuse the mapping from I</w:t>
      </w:r>
      <w:r w:rsidRPr="00B5424C">
        <w:rPr>
          <w:rFonts w:eastAsia="MS Mincho"/>
          <w:iCs/>
          <w:lang w:eastAsia="ja-JP"/>
        </w:rPr>
        <w:t>rep</w:t>
      </w:r>
      <w:r w:rsidRPr="007F4BC3">
        <w:rPr>
          <w:rFonts w:eastAsia="MS Mincho"/>
          <w:iCs/>
          <w:lang w:eastAsia="ja-JP"/>
        </w:rPr>
        <w:t xml:space="preserve"> to number of repetitions.</w:t>
      </w:r>
    </w:p>
    <w:p w14:paraId="6111A18E" w14:textId="77777777" w:rsidR="00B5424C" w:rsidRPr="007F4BC3" w:rsidRDefault="00B5424C" w:rsidP="00E0095B">
      <w:pPr>
        <w:widowControl/>
        <w:numPr>
          <w:ilvl w:val="1"/>
          <w:numId w:val="30"/>
        </w:numPr>
        <w:wordWrap/>
        <w:autoSpaceDE/>
        <w:autoSpaceDN/>
        <w:jc w:val="left"/>
        <w:rPr>
          <w:rFonts w:eastAsia="MS Mincho"/>
          <w:iCs/>
          <w:lang w:eastAsia="ja-JP"/>
        </w:rPr>
      </w:pPr>
      <w:r w:rsidRPr="007F4BC3">
        <w:rPr>
          <w:rFonts w:eastAsia="MS Mincho"/>
          <w:iCs/>
          <w:lang w:eastAsia="ja-JP"/>
        </w:rPr>
        <w:t>DCI subframe repetition number: 3 bits for Type-1 MSS and 2 bits for Type2-MSS</w:t>
      </w:r>
    </w:p>
    <w:p w14:paraId="7C6FB008" w14:textId="77777777" w:rsidR="00B5424C" w:rsidRPr="007F4BC3" w:rsidRDefault="00B5424C" w:rsidP="00E0095B">
      <w:pPr>
        <w:widowControl/>
        <w:numPr>
          <w:ilvl w:val="1"/>
          <w:numId w:val="30"/>
        </w:numPr>
        <w:wordWrap/>
        <w:autoSpaceDE/>
        <w:autoSpaceDN/>
        <w:jc w:val="left"/>
        <w:rPr>
          <w:rFonts w:eastAsia="MS Mincho"/>
          <w:iCs/>
          <w:lang w:eastAsia="ja-JP"/>
        </w:rPr>
      </w:pPr>
      <w:r w:rsidRPr="007F4BC3">
        <w:rPr>
          <w:rFonts w:eastAsia="MS Mincho"/>
          <w:iCs/>
          <w:lang w:eastAsia="ja-JP"/>
        </w:rPr>
        <w:t>Scheduling delay field is not introduced in DCI format for scheduling SC-MCCH</w:t>
      </w:r>
    </w:p>
    <w:p w14:paraId="63C10EE0" w14:textId="77777777" w:rsidR="00B5424C" w:rsidRPr="007F4BC3" w:rsidRDefault="00B5424C" w:rsidP="00E0095B">
      <w:pPr>
        <w:widowControl/>
        <w:numPr>
          <w:ilvl w:val="1"/>
          <w:numId w:val="30"/>
        </w:numPr>
        <w:wordWrap/>
        <w:autoSpaceDE/>
        <w:autoSpaceDN/>
        <w:jc w:val="left"/>
        <w:rPr>
          <w:rFonts w:eastAsia="MS Mincho"/>
          <w:iCs/>
          <w:lang w:eastAsia="ja-JP"/>
        </w:rPr>
      </w:pPr>
      <w:r w:rsidRPr="007F4BC3">
        <w:rPr>
          <w:rFonts w:eastAsia="MS Mincho"/>
          <w:iCs/>
          <w:lang w:eastAsia="ja-JP"/>
        </w:rPr>
        <w:t>Introduce scheduling delay field in DCI format for scheduling SC-MTCH</w:t>
      </w:r>
    </w:p>
    <w:p w14:paraId="00649DD7" w14:textId="77777777" w:rsidR="00B5424C" w:rsidRPr="007F4BC3" w:rsidRDefault="00B5424C" w:rsidP="00E0095B">
      <w:pPr>
        <w:widowControl/>
        <w:numPr>
          <w:ilvl w:val="2"/>
          <w:numId w:val="30"/>
        </w:numPr>
        <w:wordWrap/>
        <w:autoSpaceDE/>
        <w:autoSpaceDN/>
        <w:jc w:val="left"/>
        <w:rPr>
          <w:rFonts w:eastAsia="MS Mincho"/>
          <w:iCs/>
          <w:lang w:eastAsia="ja-JP"/>
        </w:rPr>
      </w:pPr>
      <w:r w:rsidRPr="007F4BC3">
        <w:rPr>
          <w:rFonts w:eastAsia="MS Mincho"/>
          <w:iCs/>
          <w:lang w:eastAsia="ja-JP"/>
        </w:rPr>
        <w:t>3 bits field {0, 4, 8, 12, 16, 32, 64, 128} not conditional on Rmax</w:t>
      </w:r>
    </w:p>
    <w:p w14:paraId="2F07FB40" w14:textId="77777777" w:rsidR="00B5424C" w:rsidRPr="007F4BC3" w:rsidRDefault="00B5424C" w:rsidP="00E0095B">
      <w:pPr>
        <w:widowControl/>
        <w:numPr>
          <w:ilvl w:val="0"/>
          <w:numId w:val="30"/>
        </w:numPr>
        <w:wordWrap/>
        <w:autoSpaceDE/>
        <w:autoSpaceDN/>
        <w:jc w:val="left"/>
        <w:rPr>
          <w:rFonts w:eastAsia="MS Mincho"/>
          <w:iCs/>
          <w:lang w:eastAsia="ja-JP"/>
        </w:rPr>
      </w:pPr>
      <w:r w:rsidRPr="007F4BC3">
        <w:rPr>
          <w:rFonts w:eastAsia="MS Mincho"/>
          <w:iCs/>
          <w:lang w:eastAsia="ja-JP"/>
        </w:rPr>
        <w:t>The size of the DCI formats is no more than 23 bits</w:t>
      </w:r>
    </w:p>
    <w:p w14:paraId="5CA6F615" w14:textId="486E5607" w:rsidR="00B5424C" w:rsidRDefault="00B5424C" w:rsidP="00E0095B">
      <w:pPr>
        <w:widowControl/>
        <w:numPr>
          <w:ilvl w:val="1"/>
          <w:numId w:val="30"/>
        </w:numPr>
        <w:wordWrap/>
        <w:autoSpaceDE/>
        <w:autoSpaceDN/>
        <w:jc w:val="left"/>
        <w:rPr>
          <w:rFonts w:eastAsia="MS Mincho"/>
          <w:iCs/>
          <w:lang w:eastAsia="ja-JP"/>
        </w:rPr>
      </w:pPr>
      <w:r w:rsidRPr="00B5424C">
        <w:rPr>
          <w:rFonts w:eastAsia="MS Mincho"/>
          <w:iCs/>
          <w:lang w:eastAsia="ja-JP"/>
        </w:rPr>
        <w:t>There can be reserved bits.</w:t>
      </w:r>
    </w:p>
    <w:p w14:paraId="4BE72A73" w14:textId="77777777" w:rsidR="00B5424C" w:rsidRPr="00B5424C" w:rsidRDefault="00B5424C" w:rsidP="00B5424C">
      <w:pPr>
        <w:widowControl/>
        <w:tabs>
          <w:tab w:val="num" w:pos="720"/>
        </w:tabs>
        <w:wordWrap/>
        <w:autoSpaceDE/>
        <w:autoSpaceDN/>
        <w:ind w:left="720"/>
        <w:jc w:val="left"/>
        <w:rPr>
          <w:rFonts w:eastAsia="MS Mincho"/>
          <w:iCs/>
          <w:lang w:eastAsia="ja-JP"/>
        </w:rPr>
      </w:pPr>
    </w:p>
    <w:p w14:paraId="0C3B7B25" w14:textId="77777777" w:rsidR="00B5424C" w:rsidRPr="007F4BC3" w:rsidRDefault="00B5424C" w:rsidP="00B5424C">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t>In case of collision between NPDSCH carrying SC-MTCH/SC-MCCH and NPSS/NSSS, NPBCH, and SIBs, the NPDSCH carrying SC-MTCH/SC-MCCH is postponed.</w:t>
      </w:r>
    </w:p>
    <w:p w14:paraId="60EFE30D" w14:textId="77777777" w:rsidR="00B5424C" w:rsidRPr="007F4BC3" w:rsidRDefault="00B5424C" w:rsidP="00B5424C">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t>In case of collision between Type1-MSS or Type2-MSS and NPSS/NSSS, NPBCH, and SIBs, the NPDCCH is postponed.</w:t>
      </w:r>
    </w:p>
    <w:p w14:paraId="6DE654CB" w14:textId="77777777" w:rsidR="00B5424C" w:rsidRPr="007F4BC3" w:rsidRDefault="00B5424C" w:rsidP="00B5424C">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t>There is at least 4 ms from the end of one Type1-MSS or Type2-MSS to the start of the next Type1-MSS or Type2-MSS</w:t>
      </w:r>
    </w:p>
    <w:p w14:paraId="384FDF3D" w14:textId="77777777" w:rsidR="00B5424C" w:rsidRPr="007F4BC3" w:rsidRDefault="00B5424C" w:rsidP="00E0095B">
      <w:pPr>
        <w:widowControl/>
        <w:numPr>
          <w:ilvl w:val="1"/>
          <w:numId w:val="30"/>
        </w:numPr>
        <w:wordWrap/>
        <w:autoSpaceDE/>
        <w:autoSpaceDN/>
        <w:jc w:val="left"/>
        <w:rPr>
          <w:rFonts w:eastAsia="MS Mincho"/>
          <w:iCs/>
          <w:lang w:eastAsia="ja-JP"/>
        </w:rPr>
      </w:pPr>
      <w:r w:rsidRPr="007F4BC3">
        <w:rPr>
          <w:rFonts w:eastAsia="MS Mincho"/>
          <w:iCs/>
          <w:lang w:eastAsia="ja-JP"/>
        </w:rPr>
        <w:t>This also applies to partial search spaces</w:t>
      </w:r>
    </w:p>
    <w:p w14:paraId="6B340BC9" w14:textId="77777777" w:rsidR="00B5424C" w:rsidRPr="007F4BC3" w:rsidRDefault="00B5424C" w:rsidP="00B5424C">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t>UE is not required to monitor Type1-MSS while receiving NPDSCH carrying SC-MCCH;</w:t>
      </w:r>
    </w:p>
    <w:p w14:paraId="46B51C0D" w14:textId="77777777" w:rsidR="00B5424C" w:rsidRPr="007F4BC3" w:rsidRDefault="00B5424C" w:rsidP="00B5424C">
      <w:pPr>
        <w:widowControl/>
        <w:numPr>
          <w:ilvl w:val="0"/>
          <w:numId w:val="30"/>
        </w:numPr>
        <w:tabs>
          <w:tab w:val="num" w:pos="720"/>
        </w:tabs>
        <w:wordWrap/>
        <w:autoSpaceDE/>
        <w:autoSpaceDN/>
        <w:jc w:val="left"/>
        <w:rPr>
          <w:rFonts w:eastAsia="MS Mincho"/>
          <w:iCs/>
          <w:lang w:eastAsia="ja-JP"/>
        </w:rPr>
      </w:pPr>
      <w:r w:rsidRPr="007F4BC3">
        <w:rPr>
          <w:rFonts w:eastAsia="MS Mincho"/>
          <w:iCs/>
          <w:lang w:eastAsia="ja-JP"/>
        </w:rPr>
        <w:lastRenderedPageBreak/>
        <w:t>When a UE is monitoring Type1-MSS or receiving NPDSCH carrying SC-MCCH, it is not required to simultaneously monitor Type2-MSS nor receive NPDSCH carrying SC-MTCH.</w:t>
      </w:r>
    </w:p>
    <w:p w14:paraId="7B210D24" w14:textId="77777777" w:rsidR="00B5424C" w:rsidRDefault="00B5424C" w:rsidP="00B5424C">
      <w:pPr>
        <w:rPr>
          <w:rFonts w:eastAsia="MS Mincho"/>
          <w:iCs/>
          <w:lang w:eastAsia="ja-JP"/>
        </w:rPr>
      </w:pPr>
    </w:p>
    <w:p w14:paraId="0791F8F7" w14:textId="77777777" w:rsidR="00B5424C" w:rsidRPr="00B5424C" w:rsidRDefault="00B5424C" w:rsidP="00B5424C">
      <w:pPr>
        <w:overflowPunct w:val="0"/>
        <w:adjustRightInd w:val="0"/>
        <w:spacing w:after="120"/>
        <w:contextualSpacing/>
        <w:textAlignment w:val="baseline"/>
        <w:rPr>
          <w:rFonts w:ascii="Times New Roman"/>
          <w:snapToGrid w:val="0"/>
          <w:sz w:val="22"/>
          <w:szCs w:val="22"/>
          <w:lang w:val="en-GB"/>
        </w:rPr>
      </w:pPr>
      <w:r w:rsidRPr="00B5424C">
        <w:rPr>
          <w:rFonts w:ascii="Times New Roman"/>
          <w:snapToGrid w:val="0"/>
          <w:sz w:val="22"/>
          <w:szCs w:val="22"/>
          <w:lang w:val="en-GB"/>
        </w:rPr>
        <w:t>Working assumptions</w:t>
      </w:r>
    </w:p>
    <w:p w14:paraId="73DD300E" w14:textId="0608E218" w:rsidR="00B5424C" w:rsidRPr="00B5424C" w:rsidRDefault="00B5424C" w:rsidP="00B5424C">
      <w:pPr>
        <w:widowControl/>
        <w:numPr>
          <w:ilvl w:val="0"/>
          <w:numId w:val="30"/>
        </w:numPr>
        <w:tabs>
          <w:tab w:val="num" w:pos="720"/>
        </w:tabs>
        <w:wordWrap/>
        <w:autoSpaceDE/>
        <w:autoSpaceDN/>
        <w:jc w:val="left"/>
        <w:rPr>
          <w:rFonts w:eastAsia="MS Mincho"/>
          <w:iCs/>
          <w:lang w:eastAsia="ja-JP"/>
        </w:rPr>
      </w:pPr>
      <w:r w:rsidRPr="00B5424C">
        <w:rPr>
          <w:rFonts w:eastAsia="MS Mincho"/>
          <w:iCs/>
          <w:lang w:eastAsia="ja-JP"/>
        </w:rPr>
        <w:t>NB-IoT UE is not required to monitor Type1-MSS or receive NPDSCHs carrying SC-MCCH when the UE is monitoring its Type1-CSS on paging occasions or receiving NPDSCHs carrying paging.</w:t>
      </w:r>
    </w:p>
    <w:p w14:paraId="07897031" w14:textId="77777777" w:rsidR="00B5424C" w:rsidRPr="00B5424C" w:rsidRDefault="00B5424C" w:rsidP="00B5424C">
      <w:pPr>
        <w:widowControl/>
        <w:numPr>
          <w:ilvl w:val="0"/>
          <w:numId w:val="30"/>
        </w:numPr>
        <w:tabs>
          <w:tab w:val="num" w:pos="720"/>
        </w:tabs>
        <w:wordWrap/>
        <w:autoSpaceDE/>
        <w:autoSpaceDN/>
        <w:jc w:val="left"/>
        <w:rPr>
          <w:rFonts w:eastAsia="MS Mincho"/>
          <w:iCs/>
          <w:lang w:eastAsia="ja-JP"/>
        </w:rPr>
      </w:pPr>
      <w:r w:rsidRPr="00B5424C">
        <w:rPr>
          <w:rFonts w:eastAsia="MS Mincho"/>
          <w:iCs/>
          <w:lang w:eastAsia="ja-JP"/>
        </w:rPr>
        <w:t>NB-IoT UE is not required to monitor Type2-MSS or receive NPDSCHs carrying SC-MTCH when the UE is monitoring its Type1-CSS on paging occasions or receiving NPDSCHs carrying paging message.</w:t>
      </w:r>
    </w:p>
    <w:p w14:paraId="3EA1B8E1" w14:textId="77777777" w:rsidR="00B5424C" w:rsidRPr="00B5424C" w:rsidRDefault="00B5424C" w:rsidP="00B5424C">
      <w:pPr>
        <w:widowControl/>
        <w:numPr>
          <w:ilvl w:val="0"/>
          <w:numId w:val="30"/>
        </w:numPr>
        <w:tabs>
          <w:tab w:val="num" w:pos="720"/>
        </w:tabs>
        <w:wordWrap/>
        <w:autoSpaceDE/>
        <w:autoSpaceDN/>
        <w:jc w:val="left"/>
        <w:rPr>
          <w:rFonts w:eastAsia="MS Mincho"/>
          <w:iCs/>
          <w:lang w:eastAsia="ja-JP"/>
        </w:rPr>
      </w:pPr>
      <w:r w:rsidRPr="00B5424C">
        <w:rPr>
          <w:rFonts w:eastAsia="MS Mincho"/>
          <w:iCs/>
          <w:lang w:eastAsia="ja-JP"/>
        </w:rPr>
        <w:t>NB-IoT UE is not required to monitor Type1-MSS or Type2-MSS nor receive NPDSCH carrying SC-MCCH/SC-MTCH when UE is receiving/sending messages during a random access procedure.</w:t>
      </w:r>
    </w:p>
    <w:p w14:paraId="22A9E6F5" w14:textId="77777777" w:rsidR="00B5424C" w:rsidRPr="00B5424C" w:rsidRDefault="00B5424C" w:rsidP="00B5424C">
      <w:pPr>
        <w:widowControl/>
        <w:wordWrap/>
        <w:autoSpaceDE/>
        <w:autoSpaceDN/>
        <w:ind w:left="720"/>
        <w:jc w:val="left"/>
        <w:rPr>
          <w:rFonts w:eastAsia="MS Mincho"/>
          <w:iCs/>
          <w:lang w:eastAsia="ja-JP"/>
        </w:rPr>
      </w:pPr>
    </w:p>
    <w:p w14:paraId="0048C145" w14:textId="77777777" w:rsidR="00A33CDB" w:rsidRPr="000946EF" w:rsidRDefault="00A33CDB" w:rsidP="00A33CDB">
      <w:pPr>
        <w:overflowPunct w:val="0"/>
        <w:adjustRightInd w:val="0"/>
        <w:spacing w:after="120"/>
        <w:contextualSpacing/>
        <w:textAlignment w:val="baseline"/>
        <w:rPr>
          <w:rFonts w:ascii="Times New Roman"/>
          <w:snapToGrid w:val="0"/>
          <w:kern w:val="0"/>
          <w:sz w:val="22"/>
          <w:szCs w:val="22"/>
          <w:lang w:val="en-GB"/>
        </w:rPr>
      </w:pPr>
      <w:r w:rsidRPr="000946EF">
        <w:rPr>
          <w:rFonts w:ascii="Times New Roman"/>
          <w:snapToGrid w:val="0"/>
          <w:kern w:val="0"/>
          <w:sz w:val="22"/>
          <w:szCs w:val="22"/>
          <w:lang w:val="en-GB"/>
        </w:rPr>
        <w:t xml:space="preserve">In this document we provide our views on the support of multicast for </w:t>
      </w:r>
      <w:r>
        <w:rPr>
          <w:rFonts w:ascii="Times New Roman"/>
          <w:snapToGrid w:val="0"/>
          <w:kern w:val="0"/>
          <w:sz w:val="22"/>
          <w:szCs w:val="22"/>
          <w:lang w:val="en-GB"/>
        </w:rPr>
        <w:t>Rel-14 NB-IOT</w:t>
      </w:r>
      <w:r w:rsidRPr="000946EF">
        <w:rPr>
          <w:rFonts w:ascii="Times New Roman"/>
          <w:snapToGrid w:val="0"/>
          <w:kern w:val="0"/>
          <w:sz w:val="22"/>
          <w:szCs w:val="22"/>
          <w:lang w:val="en-GB"/>
        </w:rPr>
        <w:t xml:space="preserve"> UEs.</w:t>
      </w:r>
    </w:p>
    <w:p w14:paraId="0E5A0566" w14:textId="61A49F9A" w:rsidR="00A4397C" w:rsidRPr="00A4397C" w:rsidRDefault="00A4397C" w:rsidP="00E97C40">
      <w:pPr>
        <w:pStyle w:val="LGTdoc0"/>
        <w:spacing w:afterLines="0" w:after="120" w:line="240" w:lineRule="auto"/>
        <w:rPr>
          <w:b/>
          <w:szCs w:val="22"/>
        </w:rPr>
      </w:pPr>
    </w:p>
    <w:p w14:paraId="468FC5A2" w14:textId="4719457B" w:rsidR="00C34876" w:rsidRPr="000946EF" w:rsidRDefault="001230AA"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Reduced</w:t>
      </w:r>
      <w:r w:rsidR="00F50818">
        <w:rPr>
          <w:rFonts w:ascii="Arial" w:hAnsi="Arial" w:cs="Arial"/>
          <w:lang w:val="en-US"/>
        </w:rPr>
        <w:t xml:space="preserve"> </w:t>
      </w:r>
      <w:r w:rsidR="00C34876" w:rsidRPr="000946EF">
        <w:rPr>
          <w:rFonts w:ascii="Arial" w:hAnsi="Arial" w:cs="Arial"/>
          <w:lang w:val="en-US"/>
        </w:rPr>
        <w:t>Control</w:t>
      </w:r>
      <w:r w:rsidR="00161132" w:rsidRPr="000946EF">
        <w:rPr>
          <w:rFonts w:ascii="Arial" w:hAnsi="Arial" w:cs="Arial"/>
          <w:lang w:val="en-US"/>
        </w:rPr>
        <w:t xml:space="preserve"> </w:t>
      </w:r>
      <w:r>
        <w:rPr>
          <w:rFonts w:ascii="Arial" w:hAnsi="Arial" w:cs="Arial"/>
          <w:lang w:val="en-US"/>
        </w:rPr>
        <w:t>SC-PTM</w:t>
      </w:r>
    </w:p>
    <w:p w14:paraId="5DA66F13" w14:textId="0384A805" w:rsidR="00092911" w:rsidRPr="000B2571" w:rsidRDefault="00092911" w:rsidP="00C34876">
      <w:pPr>
        <w:pStyle w:val="LGTdoc1"/>
        <w:spacing w:beforeLines="0" w:before="120" w:after="220" w:afterAutospacing="0"/>
        <w:rPr>
          <w:b w:val="0"/>
          <w:sz w:val="22"/>
          <w:szCs w:val="22"/>
        </w:rPr>
      </w:pPr>
      <w:r w:rsidRPr="000B2571">
        <w:rPr>
          <w:b w:val="0"/>
          <w:sz w:val="22"/>
          <w:szCs w:val="22"/>
        </w:rPr>
        <w:t>The use case</w:t>
      </w:r>
      <w:r>
        <w:rPr>
          <w:b w:val="0"/>
          <w:sz w:val="22"/>
          <w:szCs w:val="22"/>
        </w:rPr>
        <w:t>s</w:t>
      </w:r>
      <w:r w:rsidRPr="000B2571">
        <w:rPr>
          <w:b w:val="0"/>
          <w:sz w:val="22"/>
          <w:szCs w:val="22"/>
        </w:rPr>
        <w:t xml:space="preserve"> </w:t>
      </w:r>
      <w:r>
        <w:rPr>
          <w:b w:val="0"/>
          <w:sz w:val="22"/>
          <w:szCs w:val="22"/>
        </w:rPr>
        <w:t xml:space="preserve">for </w:t>
      </w:r>
      <w:r w:rsidRPr="000B2571">
        <w:rPr>
          <w:b w:val="0"/>
          <w:sz w:val="22"/>
          <w:szCs w:val="22"/>
        </w:rPr>
        <w:t>multicast in LTE i</w:t>
      </w:r>
      <w:r>
        <w:rPr>
          <w:b w:val="0"/>
          <w:sz w:val="22"/>
          <w:szCs w:val="22"/>
        </w:rPr>
        <w:t>nclude</w:t>
      </w:r>
      <w:r w:rsidRPr="000B2571">
        <w:rPr>
          <w:b w:val="0"/>
          <w:sz w:val="22"/>
          <w:szCs w:val="22"/>
        </w:rPr>
        <w:t xml:space="preserve"> multimedia reception. Depending on the used codec, the multimedia content may have variable bitrate, and thus it is beneficial to have the flexibility at the physical layer to change the TBS/scheduling </w:t>
      </w:r>
      <w:r>
        <w:rPr>
          <w:b w:val="0"/>
          <w:sz w:val="22"/>
          <w:szCs w:val="22"/>
        </w:rPr>
        <w:t>very dynamically</w:t>
      </w:r>
      <w:r w:rsidRPr="000B2571">
        <w:rPr>
          <w:b w:val="0"/>
          <w:sz w:val="22"/>
          <w:szCs w:val="22"/>
        </w:rPr>
        <w:t xml:space="preserve">. For </w:t>
      </w:r>
      <w:r w:rsidR="006672DD">
        <w:rPr>
          <w:b w:val="0"/>
          <w:sz w:val="22"/>
          <w:szCs w:val="22"/>
        </w:rPr>
        <w:t>NB-IoT</w:t>
      </w:r>
      <w:r w:rsidRPr="000B2571">
        <w:rPr>
          <w:b w:val="0"/>
          <w:sz w:val="22"/>
          <w:szCs w:val="22"/>
        </w:rPr>
        <w:t xml:space="preserve">, the typical use case </w:t>
      </w:r>
      <w:r w:rsidR="00E97C40">
        <w:rPr>
          <w:b w:val="0"/>
          <w:sz w:val="22"/>
          <w:szCs w:val="22"/>
        </w:rPr>
        <w:t xml:space="preserve">for multicast </w:t>
      </w:r>
      <w:r w:rsidRPr="000B2571">
        <w:rPr>
          <w:b w:val="0"/>
          <w:sz w:val="22"/>
          <w:szCs w:val="22"/>
        </w:rPr>
        <w:t>is expected to be the delivery of a software update, so the network can calculate beforehand the amount of resources, TBS, repetitions, etc. needed for its delivery</w:t>
      </w:r>
      <w:r>
        <w:rPr>
          <w:b w:val="0"/>
          <w:sz w:val="22"/>
          <w:szCs w:val="22"/>
        </w:rPr>
        <w:t>. It is hence very likely that most of the content</w:t>
      </w:r>
      <w:r w:rsidR="006672DD">
        <w:rPr>
          <w:b w:val="0"/>
          <w:sz w:val="22"/>
          <w:szCs w:val="22"/>
        </w:rPr>
        <w:t xml:space="preserve"> for the DCI for consecutive NB-IoT</w:t>
      </w:r>
      <w:r>
        <w:rPr>
          <w:b w:val="0"/>
          <w:sz w:val="22"/>
          <w:szCs w:val="22"/>
        </w:rPr>
        <w:t xml:space="preserve"> SC-MTCH PDSCH are </w:t>
      </w:r>
      <w:r w:rsidR="002B2407">
        <w:rPr>
          <w:b w:val="0"/>
          <w:sz w:val="22"/>
          <w:szCs w:val="22"/>
        </w:rPr>
        <w:t xml:space="preserve">almost </w:t>
      </w:r>
      <w:r w:rsidR="00DE7FA6">
        <w:rPr>
          <w:b w:val="0"/>
          <w:sz w:val="22"/>
          <w:szCs w:val="22"/>
        </w:rPr>
        <w:t>identical</w:t>
      </w:r>
      <w:r>
        <w:rPr>
          <w:b w:val="0"/>
          <w:sz w:val="22"/>
          <w:szCs w:val="22"/>
        </w:rPr>
        <w:t xml:space="preserve">. </w:t>
      </w:r>
    </w:p>
    <w:p w14:paraId="0104E12B" w14:textId="23BE0E59" w:rsidR="00C34876" w:rsidRPr="000946EF" w:rsidRDefault="00C34876" w:rsidP="00C34876">
      <w:pPr>
        <w:pStyle w:val="LGTdoc1"/>
        <w:spacing w:beforeLines="0" w:before="120" w:after="220" w:afterAutospacing="0"/>
        <w:rPr>
          <w:b w:val="0"/>
          <w:sz w:val="22"/>
          <w:szCs w:val="22"/>
        </w:rPr>
      </w:pPr>
      <w:r w:rsidRPr="000946EF">
        <w:rPr>
          <w:b w:val="0"/>
          <w:sz w:val="22"/>
          <w:szCs w:val="22"/>
        </w:rPr>
        <w:t xml:space="preserve">In legacy LTE, </w:t>
      </w:r>
      <w:r w:rsidR="00092911">
        <w:rPr>
          <w:b w:val="0"/>
          <w:sz w:val="22"/>
          <w:szCs w:val="22"/>
        </w:rPr>
        <w:t xml:space="preserve">a PDCCH is sent for every SC-MTCH PDSCH which </w:t>
      </w:r>
      <w:r w:rsidR="005142E4" w:rsidRPr="000946EF">
        <w:rPr>
          <w:b w:val="0"/>
          <w:sz w:val="22"/>
          <w:szCs w:val="22"/>
        </w:rPr>
        <w:t>offers</w:t>
      </w:r>
      <w:r w:rsidR="00092911">
        <w:rPr>
          <w:b w:val="0"/>
          <w:sz w:val="22"/>
          <w:szCs w:val="22"/>
        </w:rPr>
        <w:t xml:space="preserve"> the</w:t>
      </w:r>
      <w:r w:rsidR="005142E4" w:rsidRPr="000946EF">
        <w:rPr>
          <w:b w:val="0"/>
          <w:sz w:val="22"/>
          <w:szCs w:val="22"/>
        </w:rPr>
        <w:t xml:space="preserve"> </w:t>
      </w:r>
      <w:r w:rsidR="00092911">
        <w:rPr>
          <w:b w:val="0"/>
          <w:sz w:val="22"/>
          <w:szCs w:val="22"/>
        </w:rPr>
        <w:t>high</w:t>
      </w:r>
      <w:r w:rsidR="005142E4" w:rsidRPr="000946EF">
        <w:rPr>
          <w:b w:val="0"/>
          <w:sz w:val="22"/>
          <w:szCs w:val="22"/>
        </w:rPr>
        <w:t xml:space="preserve"> </w:t>
      </w:r>
      <w:r w:rsidR="00DE7FA6" w:rsidRPr="000946EF">
        <w:rPr>
          <w:b w:val="0"/>
          <w:sz w:val="22"/>
          <w:szCs w:val="22"/>
        </w:rPr>
        <w:t>flexibility</w:t>
      </w:r>
      <w:r w:rsidR="00092911">
        <w:rPr>
          <w:b w:val="0"/>
          <w:sz w:val="22"/>
          <w:szCs w:val="22"/>
        </w:rPr>
        <w:t xml:space="preserve"> required for the LTE use cases. However,</w:t>
      </w:r>
      <w:r w:rsidR="00092911" w:rsidRPr="000946EF">
        <w:rPr>
          <w:b w:val="0"/>
          <w:sz w:val="22"/>
          <w:szCs w:val="22"/>
        </w:rPr>
        <w:t xml:space="preserve"> </w:t>
      </w:r>
      <w:r w:rsidR="002B2407">
        <w:rPr>
          <w:b w:val="0"/>
          <w:sz w:val="22"/>
          <w:szCs w:val="22"/>
        </w:rPr>
        <w:t xml:space="preserve">unlike in LTE, </w:t>
      </w:r>
      <w:r w:rsidR="00092911">
        <w:rPr>
          <w:b w:val="0"/>
          <w:sz w:val="22"/>
          <w:szCs w:val="22"/>
        </w:rPr>
        <w:t xml:space="preserve">it comes with high overhead for </w:t>
      </w:r>
      <w:r w:rsidR="006672DD">
        <w:rPr>
          <w:b w:val="0"/>
          <w:sz w:val="22"/>
          <w:szCs w:val="22"/>
        </w:rPr>
        <w:t>NB-IoT</w:t>
      </w:r>
      <w:r w:rsidR="00092911">
        <w:rPr>
          <w:b w:val="0"/>
          <w:sz w:val="22"/>
          <w:szCs w:val="22"/>
        </w:rPr>
        <w:t xml:space="preserve"> due to the </w:t>
      </w:r>
      <w:r w:rsidR="002B2407">
        <w:rPr>
          <w:b w:val="0"/>
          <w:sz w:val="22"/>
          <w:szCs w:val="22"/>
        </w:rPr>
        <w:t xml:space="preserve">following </w:t>
      </w:r>
      <w:r w:rsidR="00092911">
        <w:rPr>
          <w:b w:val="0"/>
          <w:sz w:val="22"/>
          <w:szCs w:val="22"/>
        </w:rPr>
        <w:t>reasons</w:t>
      </w:r>
      <w:r w:rsidR="000E1781">
        <w:rPr>
          <w:b w:val="0"/>
          <w:sz w:val="22"/>
          <w:szCs w:val="22"/>
        </w:rPr>
        <w:t>:</w:t>
      </w:r>
    </w:p>
    <w:p w14:paraId="1BD126C9" w14:textId="18CE667C" w:rsidR="002B2407" w:rsidRPr="000946EF" w:rsidRDefault="005142E4" w:rsidP="000B2571">
      <w:pPr>
        <w:pStyle w:val="LGTdoc1"/>
        <w:numPr>
          <w:ilvl w:val="0"/>
          <w:numId w:val="27"/>
        </w:numPr>
        <w:spacing w:beforeLines="0" w:before="120" w:after="220" w:afterAutospacing="0"/>
        <w:rPr>
          <w:rFonts w:ascii="Arial" w:hAnsi="Arial" w:cs="Arial"/>
          <w:u w:val="single"/>
          <w:lang w:val="en-US"/>
        </w:rPr>
      </w:pPr>
      <w:r w:rsidRPr="000946EF">
        <w:rPr>
          <w:b w:val="0"/>
          <w:sz w:val="22"/>
          <w:szCs w:val="22"/>
          <w:u w:val="single"/>
        </w:rPr>
        <w:t>Narrowband operation:</w:t>
      </w:r>
      <w:r w:rsidRPr="000946EF">
        <w:rPr>
          <w:b w:val="0"/>
          <w:sz w:val="22"/>
          <w:szCs w:val="22"/>
        </w:rPr>
        <w:t xml:space="preserve"> </w:t>
      </w:r>
      <w:r w:rsidR="006672DD">
        <w:rPr>
          <w:b w:val="0"/>
          <w:sz w:val="22"/>
          <w:szCs w:val="22"/>
        </w:rPr>
        <w:t>NB-IoT</w:t>
      </w:r>
      <w:r w:rsidRPr="000946EF">
        <w:rPr>
          <w:b w:val="0"/>
          <w:sz w:val="22"/>
          <w:szCs w:val="22"/>
        </w:rPr>
        <w:t xml:space="preserve"> UE is not able to simultaneously monitor </w:t>
      </w:r>
      <w:r w:rsidR="006672DD">
        <w:rPr>
          <w:b w:val="0"/>
          <w:sz w:val="22"/>
          <w:szCs w:val="22"/>
        </w:rPr>
        <w:t>NPDCCH</w:t>
      </w:r>
      <w:r w:rsidRPr="000946EF">
        <w:rPr>
          <w:b w:val="0"/>
          <w:sz w:val="22"/>
          <w:szCs w:val="22"/>
        </w:rPr>
        <w:t xml:space="preserve"> and receive PDSCH, so continuous reception of PDSCH is not feasible. </w:t>
      </w:r>
      <w:r w:rsidR="00DE7FA6">
        <w:rPr>
          <w:b w:val="0"/>
          <w:sz w:val="22"/>
          <w:szCs w:val="22"/>
        </w:rPr>
        <w:t xml:space="preserve">Each </w:t>
      </w:r>
      <w:r w:rsidR="006672DD">
        <w:rPr>
          <w:b w:val="0"/>
          <w:sz w:val="22"/>
          <w:szCs w:val="22"/>
        </w:rPr>
        <w:t>NPDCCH</w:t>
      </w:r>
      <w:r w:rsidR="00DE7FA6">
        <w:rPr>
          <w:b w:val="0"/>
          <w:sz w:val="22"/>
          <w:szCs w:val="22"/>
        </w:rPr>
        <w:t xml:space="preserve"> transmission hence directly reduces the number of resources available for PDSCH. In LTE, since PDCCH is sent in the control region</w:t>
      </w:r>
      <w:r w:rsidR="00E97C40">
        <w:rPr>
          <w:b w:val="0"/>
          <w:sz w:val="22"/>
          <w:szCs w:val="22"/>
        </w:rPr>
        <w:t xml:space="preserve"> (first few OFDM symbols)</w:t>
      </w:r>
      <w:r w:rsidR="00DE7FA6">
        <w:rPr>
          <w:b w:val="0"/>
          <w:sz w:val="22"/>
          <w:szCs w:val="22"/>
        </w:rPr>
        <w:t>, this isn’t always the case.</w:t>
      </w:r>
    </w:p>
    <w:p w14:paraId="34F5B7F8" w14:textId="3D27D91F" w:rsidR="005142E4" w:rsidRPr="000B2571" w:rsidRDefault="006672DD" w:rsidP="000B2571">
      <w:pPr>
        <w:pStyle w:val="LGTdoc1"/>
        <w:numPr>
          <w:ilvl w:val="0"/>
          <w:numId w:val="27"/>
        </w:numPr>
        <w:spacing w:beforeLines="0" w:before="120" w:after="220" w:afterAutospacing="0"/>
        <w:rPr>
          <w:rFonts w:ascii="Arial" w:hAnsi="Arial" w:cs="Arial"/>
          <w:b w:val="0"/>
          <w:sz w:val="22"/>
          <w:szCs w:val="22"/>
          <w:u w:val="single"/>
          <w:lang w:val="en-US"/>
        </w:rPr>
      </w:pPr>
      <w:r>
        <w:rPr>
          <w:b w:val="0"/>
          <w:sz w:val="22"/>
          <w:szCs w:val="22"/>
          <w:u w:val="single"/>
        </w:rPr>
        <w:t>NPDCCH to PDSCH Guard Subframes</w:t>
      </w:r>
      <w:r w:rsidR="005142E4" w:rsidRPr="000B2571">
        <w:rPr>
          <w:b w:val="0"/>
          <w:sz w:val="22"/>
          <w:szCs w:val="22"/>
          <w:u w:val="single"/>
        </w:rPr>
        <w:t>:</w:t>
      </w:r>
      <w:r w:rsidR="005142E4" w:rsidRPr="000B2571">
        <w:rPr>
          <w:b w:val="0"/>
          <w:sz w:val="22"/>
          <w:szCs w:val="22"/>
        </w:rPr>
        <w:t xml:space="preserve"> In LTE a PDCCH in subframe N schedules a PDSCH in subframe N. In </w:t>
      </w:r>
      <w:r>
        <w:rPr>
          <w:b w:val="0"/>
          <w:sz w:val="22"/>
          <w:szCs w:val="22"/>
        </w:rPr>
        <w:t>NB-IoT</w:t>
      </w:r>
      <w:r w:rsidR="005142E4" w:rsidRPr="000B2571">
        <w:rPr>
          <w:b w:val="0"/>
          <w:sz w:val="22"/>
          <w:szCs w:val="22"/>
        </w:rPr>
        <w:t xml:space="preserve">, however, </w:t>
      </w:r>
      <w:r w:rsidR="00327B39" w:rsidRPr="000B2571">
        <w:rPr>
          <w:b w:val="0"/>
          <w:sz w:val="22"/>
          <w:szCs w:val="22"/>
        </w:rPr>
        <w:t xml:space="preserve">an </w:t>
      </w:r>
      <w:r>
        <w:rPr>
          <w:b w:val="0"/>
          <w:sz w:val="22"/>
          <w:szCs w:val="22"/>
        </w:rPr>
        <w:t>NPDCCH</w:t>
      </w:r>
      <w:r w:rsidR="00327B39" w:rsidRPr="000B2571">
        <w:rPr>
          <w:b w:val="0"/>
          <w:sz w:val="22"/>
          <w:szCs w:val="22"/>
        </w:rPr>
        <w:t xml:space="preserve"> in subframe N schedules a PDSCH in subframe N+</w:t>
      </w:r>
      <w:r>
        <w:rPr>
          <w:b w:val="0"/>
          <w:sz w:val="22"/>
          <w:szCs w:val="22"/>
        </w:rPr>
        <w:t>4 or beyond</w:t>
      </w:r>
      <w:r w:rsidR="00327B39" w:rsidRPr="000B2571">
        <w:rPr>
          <w:b w:val="0"/>
          <w:sz w:val="22"/>
          <w:szCs w:val="22"/>
        </w:rPr>
        <w:t xml:space="preserve">. </w:t>
      </w:r>
      <w:r w:rsidR="00DE7FA6" w:rsidRPr="000B2571">
        <w:rPr>
          <w:b w:val="0"/>
          <w:sz w:val="22"/>
          <w:szCs w:val="22"/>
        </w:rPr>
        <w:t xml:space="preserve">Hence there is a guard subframe overhead. </w:t>
      </w:r>
    </w:p>
    <w:p w14:paraId="6E83ACD6" w14:textId="73B84462" w:rsidR="006672DD" w:rsidRDefault="00DE7FA6" w:rsidP="006672DD">
      <w:pPr>
        <w:pStyle w:val="LGTdoc1"/>
        <w:spacing w:beforeLines="0" w:before="120" w:after="220" w:afterAutospacing="0"/>
        <w:rPr>
          <w:b w:val="0"/>
          <w:sz w:val="22"/>
          <w:szCs w:val="22"/>
        </w:rPr>
      </w:pPr>
      <w:r w:rsidRPr="00582756">
        <w:rPr>
          <w:b w:val="0"/>
          <w:sz w:val="22"/>
          <w:szCs w:val="22"/>
        </w:rPr>
        <w:t xml:space="preserve">For coverage enhancement, both </w:t>
      </w:r>
      <w:r w:rsidR="006672DD" w:rsidRPr="00582756">
        <w:rPr>
          <w:b w:val="0"/>
          <w:sz w:val="22"/>
          <w:szCs w:val="22"/>
        </w:rPr>
        <w:t>NPDCCH</w:t>
      </w:r>
      <w:r w:rsidRPr="00582756">
        <w:rPr>
          <w:b w:val="0"/>
          <w:sz w:val="22"/>
          <w:szCs w:val="22"/>
        </w:rPr>
        <w:t xml:space="preserve"> and PDSCH are sent with repetitions. Since </w:t>
      </w:r>
      <w:r w:rsidR="006672DD" w:rsidRPr="00582756">
        <w:rPr>
          <w:b w:val="0"/>
          <w:sz w:val="22"/>
          <w:szCs w:val="22"/>
        </w:rPr>
        <w:t>NPDCCH</w:t>
      </w:r>
      <w:r w:rsidRPr="00582756">
        <w:rPr>
          <w:b w:val="0"/>
          <w:sz w:val="22"/>
          <w:szCs w:val="22"/>
        </w:rPr>
        <w:t xml:space="preserve"> payload is typically much smaller than PDSCH, one would expect the </w:t>
      </w:r>
      <w:r w:rsidR="006672DD" w:rsidRPr="00582756">
        <w:rPr>
          <w:b w:val="0"/>
          <w:sz w:val="22"/>
          <w:szCs w:val="22"/>
        </w:rPr>
        <w:t>NPDCCH</w:t>
      </w:r>
      <w:r w:rsidRPr="00582756">
        <w:rPr>
          <w:b w:val="0"/>
          <w:sz w:val="22"/>
          <w:szCs w:val="22"/>
        </w:rPr>
        <w:t xml:space="preserve"> overhead as a percentage of total required resource (</w:t>
      </w:r>
      <w:r w:rsidR="006672DD" w:rsidRPr="00582756">
        <w:rPr>
          <w:b w:val="0"/>
          <w:sz w:val="22"/>
          <w:szCs w:val="22"/>
        </w:rPr>
        <w:t>NPDCCH</w:t>
      </w:r>
      <w:r w:rsidRPr="00582756">
        <w:rPr>
          <w:b w:val="0"/>
          <w:sz w:val="22"/>
          <w:szCs w:val="22"/>
        </w:rPr>
        <w:t xml:space="preserve">+ PDSCH) to be low. However, </w:t>
      </w:r>
      <w:r w:rsidR="006672DD" w:rsidRPr="00582756">
        <w:rPr>
          <w:b w:val="0"/>
          <w:sz w:val="22"/>
          <w:szCs w:val="22"/>
        </w:rPr>
        <w:t>t</w:t>
      </w:r>
      <w:r w:rsidR="00065DCE" w:rsidRPr="00582756">
        <w:rPr>
          <w:b w:val="0"/>
          <w:sz w:val="22"/>
          <w:szCs w:val="22"/>
        </w:rPr>
        <w:t xml:space="preserve">he </w:t>
      </w:r>
      <w:r w:rsidR="006672DD" w:rsidRPr="00582756">
        <w:rPr>
          <w:b w:val="0"/>
          <w:sz w:val="22"/>
          <w:szCs w:val="22"/>
        </w:rPr>
        <w:t>NPDCCH</w:t>
      </w:r>
      <w:r w:rsidR="00065DCE" w:rsidRPr="00582756">
        <w:rPr>
          <w:b w:val="0"/>
          <w:sz w:val="22"/>
          <w:szCs w:val="22"/>
        </w:rPr>
        <w:t xml:space="preserve"> BLER target is usually much lower than that for PDSCH. </w:t>
      </w:r>
      <w:r w:rsidR="006672DD" w:rsidRPr="00582756">
        <w:rPr>
          <w:b w:val="0"/>
          <w:sz w:val="22"/>
          <w:szCs w:val="22"/>
        </w:rPr>
        <w:t>In companion contribution</w:t>
      </w:r>
      <w:r w:rsidR="004B2E74" w:rsidRPr="00582756">
        <w:rPr>
          <w:b w:val="0"/>
          <w:sz w:val="22"/>
          <w:szCs w:val="22"/>
        </w:rPr>
        <w:t xml:space="preserve"> [</w:t>
      </w:r>
      <w:r w:rsidR="00E0095B">
        <w:rPr>
          <w:b w:val="0"/>
          <w:sz w:val="22"/>
          <w:szCs w:val="22"/>
        </w:rPr>
        <w:t>4</w:t>
      </w:r>
      <w:r w:rsidR="004B2E74" w:rsidRPr="00582756">
        <w:rPr>
          <w:b w:val="0"/>
          <w:sz w:val="22"/>
          <w:szCs w:val="22"/>
        </w:rPr>
        <w:t>]</w:t>
      </w:r>
      <w:r w:rsidR="006672DD" w:rsidRPr="00582756">
        <w:rPr>
          <w:b w:val="0"/>
          <w:sz w:val="22"/>
          <w:szCs w:val="22"/>
        </w:rPr>
        <w:t>, we show that single PDCCH scheduling multiple PDSCH provides gains for eMTC. Similar design could be considered for NB-IoT as well.</w:t>
      </w:r>
      <w:r w:rsidR="006672DD">
        <w:rPr>
          <w:b w:val="0"/>
          <w:sz w:val="22"/>
          <w:szCs w:val="22"/>
        </w:rPr>
        <w:t xml:space="preserve"> </w:t>
      </w:r>
    </w:p>
    <w:p w14:paraId="44D16E54" w14:textId="3DA4988A" w:rsidR="000B2571" w:rsidRPr="000946EF" w:rsidRDefault="000B2571" w:rsidP="000B2571">
      <w:pPr>
        <w:pStyle w:val="LGTdoc1"/>
        <w:spacing w:beforeLines="0" w:before="120" w:after="220" w:afterAutospacing="0"/>
        <w:rPr>
          <w:sz w:val="22"/>
          <w:szCs w:val="22"/>
        </w:rPr>
      </w:pPr>
      <w:r w:rsidRPr="000B2571">
        <w:rPr>
          <w:sz w:val="22"/>
          <w:szCs w:val="22"/>
          <w:u w:val="single"/>
        </w:rPr>
        <w:t>Proposal</w:t>
      </w:r>
      <w:r w:rsidR="00570137" w:rsidRPr="000B2571">
        <w:rPr>
          <w:sz w:val="22"/>
          <w:szCs w:val="22"/>
          <w:u w:val="single"/>
        </w:rPr>
        <w:t>:</w:t>
      </w:r>
      <w:r w:rsidR="00570137" w:rsidRPr="00E97C40">
        <w:rPr>
          <w:sz w:val="22"/>
          <w:szCs w:val="22"/>
        </w:rPr>
        <w:t xml:space="preserve"> </w:t>
      </w:r>
      <w:r w:rsidR="00E97C40" w:rsidRPr="00E97C40">
        <w:rPr>
          <w:sz w:val="22"/>
          <w:szCs w:val="22"/>
        </w:rPr>
        <w:t>For SC-MTCH, i</w:t>
      </w:r>
      <w:r w:rsidRPr="000B2571">
        <w:rPr>
          <w:sz w:val="22"/>
          <w:szCs w:val="22"/>
        </w:rPr>
        <w:t>ntroduce two bits in the DCI to indicate</w:t>
      </w:r>
      <w:r w:rsidR="000E1781">
        <w:rPr>
          <w:sz w:val="22"/>
          <w:szCs w:val="22"/>
        </w:rPr>
        <w:t xml:space="preserve"> the</w:t>
      </w:r>
      <w:r w:rsidRPr="000B2571">
        <w:rPr>
          <w:sz w:val="22"/>
          <w:szCs w:val="22"/>
        </w:rPr>
        <w:t xml:space="preserve"> number of PDSCH </w:t>
      </w:r>
      <w:r w:rsidRPr="006D6159">
        <w:rPr>
          <w:sz w:val="22"/>
          <w:szCs w:val="22"/>
        </w:rPr>
        <w:t xml:space="preserve">associated with the </w:t>
      </w:r>
      <w:r w:rsidR="000E1781">
        <w:rPr>
          <w:sz w:val="22"/>
          <w:szCs w:val="22"/>
        </w:rPr>
        <w:t xml:space="preserve">DCI </w:t>
      </w:r>
      <w:r>
        <w:rPr>
          <w:sz w:val="22"/>
          <w:szCs w:val="22"/>
        </w:rPr>
        <w:t>from the set {1,2,3,4}</w:t>
      </w:r>
      <w:r w:rsidR="002F7843">
        <w:rPr>
          <w:sz w:val="22"/>
          <w:szCs w:val="22"/>
        </w:rPr>
        <w:t>.</w:t>
      </w:r>
      <w:r>
        <w:rPr>
          <w:sz w:val="22"/>
          <w:szCs w:val="22"/>
        </w:rPr>
        <w:t xml:space="preserve"> The PDSCH are assumed to be scheduled back to back with a fixed pre-determined gap if necessary.</w:t>
      </w:r>
    </w:p>
    <w:p w14:paraId="1BEB5F2E" w14:textId="2E469C64" w:rsidR="000B2571" w:rsidRDefault="000B2571" w:rsidP="000B2571">
      <w:pPr>
        <w:pStyle w:val="LGTdoc1"/>
        <w:spacing w:beforeLines="0" w:before="120" w:after="220" w:afterAutospacing="0"/>
        <w:rPr>
          <w:rFonts w:ascii="Arial" w:hAnsi="Arial" w:cs="Arial"/>
          <w:lang w:val="en-US"/>
        </w:rPr>
      </w:pPr>
    </w:p>
    <w:p w14:paraId="65EA6BD7" w14:textId="77777777" w:rsidR="00E0095B" w:rsidRDefault="00E0095B" w:rsidP="000B2571">
      <w:pPr>
        <w:pStyle w:val="LGTdoc1"/>
        <w:spacing w:beforeLines="0" w:before="120" w:after="220" w:afterAutospacing="0"/>
        <w:rPr>
          <w:rFonts w:ascii="Arial" w:hAnsi="Arial" w:cs="Arial"/>
          <w:lang w:val="en-US"/>
        </w:rPr>
      </w:pPr>
    </w:p>
    <w:p w14:paraId="0AE73D74" w14:textId="72755FDC" w:rsidR="00C34876"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lastRenderedPageBreak/>
        <w:t>Summary</w:t>
      </w:r>
    </w:p>
    <w:bookmarkEnd w:id="0"/>
    <w:bookmarkEnd w:id="1"/>
    <w:p w14:paraId="1CC4EAA3" w14:textId="476FBE1C" w:rsidR="001A1BF8" w:rsidRPr="001A1BF8" w:rsidRDefault="001A1BF8" w:rsidP="00A4397C">
      <w:pPr>
        <w:pStyle w:val="LGTdoc1"/>
        <w:spacing w:beforeLines="0" w:before="120" w:after="220" w:afterAutospacing="0"/>
        <w:rPr>
          <w:b w:val="0"/>
          <w:sz w:val="22"/>
          <w:szCs w:val="22"/>
        </w:rPr>
      </w:pPr>
      <w:r w:rsidRPr="001A1BF8">
        <w:rPr>
          <w:b w:val="0"/>
          <w:sz w:val="22"/>
          <w:szCs w:val="22"/>
        </w:rPr>
        <w:t>In this contribution we proposed support</w:t>
      </w:r>
      <w:r>
        <w:rPr>
          <w:b w:val="0"/>
          <w:sz w:val="22"/>
          <w:szCs w:val="22"/>
        </w:rPr>
        <w:t>ing</w:t>
      </w:r>
      <w:r w:rsidRPr="001A1BF8">
        <w:rPr>
          <w:b w:val="0"/>
          <w:sz w:val="22"/>
          <w:szCs w:val="22"/>
        </w:rPr>
        <w:t xml:space="preserve"> </w:t>
      </w:r>
      <w:r w:rsidR="00E97C40">
        <w:rPr>
          <w:b w:val="0"/>
          <w:sz w:val="22"/>
          <w:szCs w:val="22"/>
        </w:rPr>
        <w:t xml:space="preserve">use of </w:t>
      </w:r>
      <w:r w:rsidRPr="001A1BF8">
        <w:rPr>
          <w:b w:val="0"/>
          <w:sz w:val="22"/>
          <w:szCs w:val="22"/>
        </w:rPr>
        <w:t xml:space="preserve">single </w:t>
      </w:r>
      <w:r w:rsidR="006672DD">
        <w:rPr>
          <w:b w:val="0"/>
          <w:sz w:val="22"/>
          <w:szCs w:val="22"/>
        </w:rPr>
        <w:t>NPDCCH</w:t>
      </w:r>
      <w:r w:rsidRPr="001A1BF8">
        <w:rPr>
          <w:b w:val="0"/>
          <w:sz w:val="22"/>
          <w:szCs w:val="22"/>
        </w:rPr>
        <w:t xml:space="preserve"> to schedule multiple PDSCH</w:t>
      </w:r>
      <w:r w:rsidR="00E97C40">
        <w:rPr>
          <w:b w:val="0"/>
          <w:sz w:val="22"/>
          <w:szCs w:val="22"/>
        </w:rPr>
        <w:t xml:space="preserve"> for multicast.</w:t>
      </w:r>
    </w:p>
    <w:p w14:paraId="09119470" w14:textId="1B72534B" w:rsidR="00A4397C" w:rsidRPr="000946EF" w:rsidRDefault="001A1BF8" w:rsidP="00A4397C">
      <w:pPr>
        <w:pStyle w:val="LGTdoc1"/>
        <w:spacing w:beforeLines="0" w:before="120" w:after="220" w:afterAutospacing="0"/>
        <w:rPr>
          <w:sz w:val="22"/>
          <w:szCs w:val="22"/>
        </w:rPr>
      </w:pPr>
      <w:r>
        <w:rPr>
          <w:sz w:val="22"/>
          <w:szCs w:val="22"/>
          <w:u w:val="single"/>
        </w:rPr>
        <w:t>Proposal</w:t>
      </w:r>
      <w:r w:rsidR="00A4397C" w:rsidRPr="000B2571">
        <w:rPr>
          <w:sz w:val="22"/>
          <w:szCs w:val="22"/>
          <w:u w:val="single"/>
        </w:rPr>
        <w:t>:</w:t>
      </w:r>
      <w:r w:rsidR="00A4397C" w:rsidRPr="00E97C40">
        <w:rPr>
          <w:sz w:val="22"/>
          <w:szCs w:val="22"/>
        </w:rPr>
        <w:t xml:space="preserve"> </w:t>
      </w:r>
      <w:r w:rsidR="00E97C40" w:rsidRPr="00E97C40">
        <w:rPr>
          <w:sz w:val="22"/>
          <w:szCs w:val="22"/>
        </w:rPr>
        <w:t>For SC-MTCH, introduce</w:t>
      </w:r>
      <w:r w:rsidR="00A4397C" w:rsidRPr="000B2571">
        <w:rPr>
          <w:sz w:val="22"/>
          <w:szCs w:val="22"/>
        </w:rPr>
        <w:t xml:space="preserve"> two bits in the DCI to indicate</w:t>
      </w:r>
      <w:r w:rsidR="00A4397C">
        <w:rPr>
          <w:sz w:val="22"/>
          <w:szCs w:val="22"/>
        </w:rPr>
        <w:t xml:space="preserve"> the</w:t>
      </w:r>
      <w:r w:rsidR="00A4397C" w:rsidRPr="000B2571">
        <w:rPr>
          <w:sz w:val="22"/>
          <w:szCs w:val="22"/>
        </w:rPr>
        <w:t xml:space="preserve"> number of PDSCH </w:t>
      </w:r>
      <w:r w:rsidR="00A4397C" w:rsidRPr="006D6159">
        <w:rPr>
          <w:sz w:val="22"/>
          <w:szCs w:val="22"/>
        </w:rPr>
        <w:t xml:space="preserve">associated with the </w:t>
      </w:r>
      <w:r w:rsidR="00A4397C">
        <w:rPr>
          <w:sz w:val="22"/>
          <w:szCs w:val="22"/>
        </w:rPr>
        <w:t>DCI from the set {1,2,3,4}. The PDSCH are assumed to be scheduled back to back with a fixed pre-determined gap if necessary.</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6192AA4" w14:textId="77777777" w:rsidR="00E0095B" w:rsidRDefault="00E0095B" w:rsidP="00E0095B">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 xml:space="preserve">New work item proposal: Enhancements of NB-IoT </w:t>
      </w:r>
      <w:r w:rsidRPr="00FF47FD">
        <w:rPr>
          <w:b w:val="0"/>
          <w:sz w:val="22"/>
          <w:szCs w:val="22"/>
        </w:rPr>
        <w:t>“,</w:t>
      </w:r>
      <w:r w:rsidRPr="0047204B">
        <w:rPr>
          <w:b w:val="0"/>
          <w:sz w:val="22"/>
          <w:szCs w:val="22"/>
        </w:rPr>
        <w:t>Vodafone, Huawei, HiSilicon,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4E85BE67" w14:textId="77777777" w:rsidR="00E0095B" w:rsidRDefault="00E0095B" w:rsidP="00E0095B">
      <w:pPr>
        <w:pStyle w:val="LGTdoc1"/>
        <w:spacing w:before="120" w:after="220"/>
        <w:rPr>
          <w:b w:val="0"/>
          <w:sz w:val="22"/>
          <w:szCs w:val="22"/>
        </w:rPr>
      </w:pPr>
      <w:r w:rsidRPr="00FF47FD">
        <w:rPr>
          <w:b w:val="0"/>
          <w:sz w:val="22"/>
          <w:szCs w:val="22"/>
        </w:rPr>
        <w:t>[</w:t>
      </w:r>
      <w:r>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NB-IoT</w:t>
      </w:r>
      <w:r w:rsidRPr="0047204B">
        <w:rPr>
          <w:b w:val="0"/>
          <w:sz w:val="22"/>
          <w:szCs w:val="22"/>
        </w:rPr>
        <w:t xml:space="preserve"> </w:t>
      </w:r>
      <w:r w:rsidRPr="00FF47FD">
        <w:rPr>
          <w:b w:val="0"/>
          <w:sz w:val="22"/>
          <w:szCs w:val="22"/>
        </w:rPr>
        <w:t>“,</w:t>
      </w:r>
      <w:r w:rsidRPr="0047204B">
        <w:rPr>
          <w:b w:val="0"/>
          <w:sz w:val="22"/>
          <w:szCs w:val="22"/>
        </w:rPr>
        <w:t>Vodafone, Huawei, HiSilicon,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p w14:paraId="5B7A1404" w14:textId="6D2A7322" w:rsidR="00C91B61" w:rsidRDefault="00C91B61" w:rsidP="00E0095B">
      <w:pPr>
        <w:pStyle w:val="LGTdoc1"/>
        <w:spacing w:before="120" w:after="220"/>
        <w:rPr>
          <w:b w:val="0"/>
          <w:bCs/>
          <w:sz w:val="22"/>
          <w:szCs w:val="22"/>
          <w:lang w:val="en-US"/>
        </w:rPr>
      </w:pPr>
      <w:r>
        <w:rPr>
          <w:b w:val="0"/>
          <w:bCs/>
          <w:sz w:val="22"/>
          <w:szCs w:val="22"/>
          <w:lang w:val="en-US"/>
        </w:rPr>
        <w:t>[</w:t>
      </w:r>
      <w:r w:rsidR="00E0095B">
        <w:rPr>
          <w:b w:val="0"/>
          <w:bCs/>
          <w:sz w:val="22"/>
          <w:szCs w:val="22"/>
          <w:lang w:val="en-US"/>
        </w:rPr>
        <w:t>3</w:t>
      </w:r>
      <w:r>
        <w:rPr>
          <w:b w:val="0"/>
          <w:bCs/>
          <w:sz w:val="22"/>
          <w:szCs w:val="22"/>
          <w:lang w:val="en-US"/>
        </w:rPr>
        <w:t xml:space="preserve">] </w:t>
      </w:r>
      <w:r w:rsidRPr="00530C27">
        <w:rPr>
          <w:b w:val="0"/>
          <w:bCs/>
          <w:sz w:val="22"/>
          <w:szCs w:val="22"/>
          <w:lang w:val="en-US"/>
        </w:rPr>
        <w:t>R1-</w:t>
      </w:r>
      <w:r>
        <w:rPr>
          <w:b w:val="0"/>
          <w:bCs/>
          <w:sz w:val="22"/>
          <w:szCs w:val="22"/>
          <w:lang w:val="en-US"/>
        </w:rPr>
        <w:t>1613705, “</w:t>
      </w:r>
      <w:r w:rsidRPr="00530C27">
        <w:rPr>
          <w:b w:val="0"/>
          <w:bCs/>
          <w:sz w:val="22"/>
          <w:szCs w:val="22"/>
          <w:lang w:val="en-US"/>
        </w:rPr>
        <w:t xml:space="preserve">Chairman's notes of AI </w:t>
      </w:r>
      <w:r>
        <w:rPr>
          <w:b w:val="0"/>
          <w:bCs/>
          <w:sz w:val="22"/>
          <w:szCs w:val="22"/>
          <w:lang w:val="en-US"/>
        </w:rPr>
        <w:t>6</w:t>
      </w:r>
      <w:r w:rsidRPr="00530C27">
        <w:rPr>
          <w:b w:val="0"/>
          <w:bCs/>
          <w:sz w:val="22"/>
          <w:szCs w:val="22"/>
          <w:lang w:val="en-US"/>
        </w:rPr>
        <w:t>.2.</w:t>
      </w:r>
      <w:r>
        <w:rPr>
          <w:b w:val="0"/>
          <w:bCs/>
          <w:sz w:val="22"/>
          <w:szCs w:val="22"/>
          <w:lang w:val="en-US"/>
        </w:rPr>
        <w:t>9</w:t>
      </w:r>
      <w:r w:rsidRPr="00530C27">
        <w:rPr>
          <w:b w:val="0"/>
          <w:bCs/>
          <w:sz w:val="22"/>
          <w:szCs w:val="22"/>
          <w:lang w:val="en-US"/>
        </w:rPr>
        <w:t xml:space="preserve"> on Further En</w:t>
      </w:r>
      <w:r>
        <w:rPr>
          <w:b w:val="0"/>
          <w:bCs/>
          <w:sz w:val="22"/>
          <w:szCs w:val="22"/>
          <w:lang w:val="en-US"/>
        </w:rPr>
        <w:t xml:space="preserve">hanced NB-IOT LTE </w:t>
      </w:r>
      <w:r w:rsidRPr="00530C27">
        <w:rPr>
          <w:b w:val="0"/>
          <w:bCs/>
          <w:sz w:val="22"/>
          <w:szCs w:val="22"/>
          <w:lang w:val="en-US"/>
        </w:rPr>
        <w:t>Ad-Hoc chair</w:t>
      </w:r>
      <w:r>
        <w:rPr>
          <w:b w:val="0"/>
          <w:bCs/>
          <w:sz w:val="22"/>
          <w:szCs w:val="22"/>
          <w:lang w:val="en-US"/>
        </w:rPr>
        <w:t xml:space="preserve">”, </w:t>
      </w:r>
      <w:r w:rsidRPr="007578C3">
        <w:rPr>
          <w:b w:val="0"/>
          <w:bCs/>
          <w:sz w:val="22"/>
          <w:szCs w:val="22"/>
          <w:lang w:val="en-US"/>
        </w:rPr>
        <w:t>3GPP TSG RAN WG1 Meeting #8</w:t>
      </w:r>
      <w:r>
        <w:rPr>
          <w:b w:val="0"/>
          <w:bCs/>
          <w:sz w:val="22"/>
          <w:szCs w:val="22"/>
          <w:lang w:val="en-US"/>
        </w:rPr>
        <w:t>7, Reno, Nevada, USA, 14</w:t>
      </w:r>
      <w:r w:rsidRPr="00021B32">
        <w:rPr>
          <w:b w:val="0"/>
          <w:bCs/>
          <w:sz w:val="22"/>
          <w:szCs w:val="22"/>
          <w:vertAlign w:val="superscript"/>
          <w:lang w:val="en-US"/>
        </w:rPr>
        <w:t>th</w:t>
      </w:r>
      <w:r>
        <w:rPr>
          <w:b w:val="0"/>
          <w:bCs/>
          <w:sz w:val="22"/>
          <w:szCs w:val="22"/>
          <w:lang w:val="en-US"/>
        </w:rPr>
        <w:t xml:space="preserve"> – 18</w:t>
      </w:r>
      <w:r w:rsidRPr="00021B32">
        <w:rPr>
          <w:b w:val="0"/>
          <w:bCs/>
          <w:sz w:val="22"/>
          <w:szCs w:val="22"/>
          <w:vertAlign w:val="superscript"/>
          <w:lang w:val="en-US"/>
        </w:rPr>
        <w:t>th</w:t>
      </w:r>
      <w:r>
        <w:rPr>
          <w:b w:val="0"/>
          <w:bCs/>
          <w:sz w:val="22"/>
          <w:szCs w:val="22"/>
          <w:lang w:val="en-US"/>
        </w:rPr>
        <w:t xml:space="preserve"> November 2016</w:t>
      </w:r>
    </w:p>
    <w:p w14:paraId="058C1780" w14:textId="2F063751" w:rsidR="00743CF1" w:rsidRDefault="00743CF1" w:rsidP="00743CF1">
      <w:pPr>
        <w:pStyle w:val="LGTdoc1"/>
        <w:spacing w:before="120" w:after="220"/>
        <w:rPr>
          <w:b w:val="0"/>
          <w:bCs/>
          <w:sz w:val="22"/>
          <w:szCs w:val="22"/>
          <w:lang w:val="en-US"/>
        </w:rPr>
      </w:pPr>
      <w:r w:rsidRPr="00A33CDB">
        <w:rPr>
          <w:b w:val="0"/>
          <w:bCs/>
          <w:sz w:val="22"/>
          <w:szCs w:val="22"/>
          <w:lang w:val="en-US"/>
        </w:rPr>
        <w:t>[</w:t>
      </w:r>
      <w:r w:rsidR="00E0095B">
        <w:rPr>
          <w:b w:val="0"/>
          <w:bCs/>
          <w:sz w:val="22"/>
          <w:szCs w:val="22"/>
          <w:lang w:val="en-US"/>
        </w:rPr>
        <w:t>4</w:t>
      </w:r>
      <w:r w:rsidRPr="00A33CDB">
        <w:rPr>
          <w:b w:val="0"/>
          <w:bCs/>
          <w:sz w:val="22"/>
          <w:szCs w:val="22"/>
          <w:lang w:val="en-US"/>
        </w:rPr>
        <w:t>] R1-170254</w:t>
      </w:r>
      <w:r>
        <w:rPr>
          <w:b w:val="0"/>
          <w:bCs/>
          <w:sz w:val="22"/>
          <w:szCs w:val="22"/>
          <w:lang w:val="en-US"/>
        </w:rPr>
        <w:t>2</w:t>
      </w:r>
      <w:r w:rsidRPr="00A33CDB">
        <w:rPr>
          <w:b w:val="0"/>
          <w:bCs/>
          <w:sz w:val="22"/>
          <w:szCs w:val="22"/>
          <w:lang w:val="en-US"/>
        </w:rPr>
        <w:t xml:space="preserve">, “Support </w:t>
      </w:r>
      <w:r>
        <w:rPr>
          <w:b w:val="0"/>
          <w:bCs/>
          <w:sz w:val="22"/>
          <w:szCs w:val="22"/>
          <w:lang w:val="en-US"/>
        </w:rPr>
        <w:t>of multicast</w:t>
      </w:r>
      <w:r w:rsidRPr="00A33CDB">
        <w:rPr>
          <w:b w:val="0"/>
          <w:bCs/>
          <w:sz w:val="22"/>
          <w:szCs w:val="22"/>
          <w:lang w:val="en-US"/>
        </w:rPr>
        <w:t xml:space="preserve">”, </w:t>
      </w:r>
      <w:r w:rsidR="00E07A12">
        <w:rPr>
          <w:b w:val="0"/>
          <w:bCs/>
          <w:sz w:val="22"/>
          <w:szCs w:val="22"/>
          <w:lang w:val="en-US"/>
        </w:rPr>
        <w:t xml:space="preserve">AI 7.2.3.2. </w:t>
      </w:r>
      <w:r w:rsidRPr="00A33CDB">
        <w:rPr>
          <w:b w:val="0"/>
          <w:bCs/>
          <w:sz w:val="22"/>
          <w:szCs w:val="22"/>
          <w:lang w:val="en-US"/>
        </w:rPr>
        <w:t>3GPP TSG RAN WG1 Meeting #88, Athens, Greece, 13</w:t>
      </w:r>
      <w:r w:rsidRPr="00A33CDB">
        <w:rPr>
          <w:b w:val="0"/>
          <w:bCs/>
          <w:sz w:val="22"/>
          <w:szCs w:val="22"/>
          <w:vertAlign w:val="superscript"/>
          <w:lang w:val="en-US"/>
        </w:rPr>
        <w:t>th</w:t>
      </w:r>
      <w:r w:rsidRPr="00A33CDB">
        <w:rPr>
          <w:b w:val="0"/>
          <w:bCs/>
          <w:sz w:val="22"/>
          <w:szCs w:val="22"/>
          <w:lang w:val="en-US"/>
        </w:rPr>
        <w:t>-18</w:t>
      </w:r>
      <w:r w:rsidRPr="00A33CDB">
        <w:rPr>
          <w:b w:val="0"/>
          <w:bCs/>
          <w:sz w:val="22"/>
          <w:szCs w:val="22"/>
          <w:vertAlign w:val="superscript"/>
          <w:lang w:val="en-US"/>
        </w:rPr>
        <w:t>th</w:t>
      </w:r>
      <w:r w:rsidRPr="00A33CDB">
        <w:rPr>
          <w:b w:val="0"/>
          <w:bCs/>
          <w:sz w:val="22"/>
          <w:szCs w:val="22"/>
          <w:lang w:val="en-US"/>
        </w:rPr>
        <w:t xml:space="preserve"> February 2017.</w:t>
      </w:r>
    </w:p>
    <w:p w14:paraId="6A6E3F39" w14:textId="77777777" w:rsidR="00743CF1" w:rsidRDefault="00743CF1" w:rsidP="00743CF1">
      <w:pPr>
        <w:pStyle w:val="LGTdoc1"/>
        <w:spacing w:before="120" w:after="220"/>
        <w:rPr>
          <w:b w:val="0"/>
          <w:sz w:val="22"/>
          <w:szCs w:val="22"/>
        </w:rPr>
      </w:pPr>
    </w:p>
    <w:p w14:paraId="35FFE54E" w14:textId="77777777" w:rsidR="00743CF1" w:rsidRDefault="00743CF1" w:rsidP="00C91B61">
      <w:pPr>
        <w:pStyle w:val="LGTdoc1"/>
        <w:spacing w:before="120" w:after="220"/>
        <w:rPr>
          <w:b w:val="0"/>
          <w:sz w:val="22"/>
          <w:szCs w:val="22"/>
        </w:rPr>
      </w:pPr>
    </w:p>
    <w:sectPr w:rsidR="00743CF1"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110B5" w14:textId="77777777" w:rsidR="006A009F" w:rsidRDefault="006A009F">
      <w:r>
        <w:separator/>
      </w:r>
    </w:p>
  </w:endnote>
  <w:endnote w:type="continuationSeparator" w:id="0">
    <w:p w14:paraId="16F141A5" w14:textId="77777777" w:rsidR="006A009F" w:rsidRDefault="006A009F">
      <w:r>
        <w:continuationSeparator/>
      </w:r>
    </w:p>
  </w:endnote>
  <w:endnote w:type="continuationNotice" w:id="1">
    <w:p w14:paraId="25E4D5B1" w14:textId="77777777" w:rsidR="006A009F" w:rsidRDefault="006A0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09A67E7B"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095B">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8ADF5" w14:textId="77777777" w:rsidR="006A009F" w:rsidRDefault="006A009F">
      <w:r>
        <w:separator/>
      </w:r>
    </w:p>
  </w:footnote>
  <w:footnote w:type="continuationSeparator" w:id="0">
    <w:p w14:paraId="45C8C71F" w14:textId="77777777" w:rsidR="006A009F" w:rsidRDefault="006A009F">
      <w:r>
        <w:continuationSeparator/>
      </w:r>
    </w:p>
  </w:footnote>
  <w:footnote w:type="continuationNotice" w:id="1">
    <w:p w14:paraId="06344BE0" w14:textId="77777777" w:rsidR="006A009F" w:rsidRDefault="006A00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6"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4"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7"/>
  </w:num>
  <w:num w:numId="2">
    <w:abstractNumId w:val="12"/>
  </w:num>
  <w:num w:numId="3">
    <w:abstractNumId w:val="21"/>
  </w:num>
  <w:num w:numId="4">
    <w:abstractNumId w:val="30"/>
  </w:num>
  <w:num w:numId="5">
    <w:abstractNumId w:val="31"/>
  </w:num>
  <w:num w:numId="6">
    <w:abstractNumId w:val="2"/>
  </w:num>
  <w:num w:numId="7">
    <w:abstractNumId w:val="32"/>
  </w:num>
  <w:num w:numId="8">
    <w:abstractNumId w:val="23"/>
  </w:num>
  <w:num w:numId="9">
    <w:abstractNumId w:val="5"/>
  </w:num>
  <w:num w:numId="10">
    <w:abstractNumId w:val="7"/>
  </w:num>
  <w:num w:numId="11">
    <w:abstractNumId w:val="24"/>
  </w:num>
  <w:num w:numId="12">
    <w:abstractNumId w:val="26"/>
  </w:num>
  <w:num w:numId="13">
    <w:abstractNumId w:val="13"/>
  </w:num>
  <w:num w:numId="14">
    <w:abstractNumId w:val="8"/>
  </w:num>
  <w:num w:numId="15">
    <w:abstractNumId w:val="14"/>
  </w:num>
  <w:num w:numId="16">
    <w:abstractNumId w:val="9"/>
  </w:num>
  <w:num w:numId="17">
    <w:abstractNumId w:val="15"/>
  </w:num>
  <w:num w:numId="18">
    <w:abstractNumId w:val="25"/>
  </w:num>
  <w:num w:numId="19">
    <w:abstractNumId w:val="3"/>
  </w:num>
  <w:num w:numId="20">
    <w:abstractNumId w:val="0"/>
  </w:num>
  <w:num w:numId="21">
    <w:abstractNumId w:val="11"/>
  </w:num>
  <w:num w:numId="22">
    <w:abstractNumId w:val="29"/>
  </w:num>
  <w:num w:numId="23">
    <w:abstractNumId w:val="20"/>
  </w:num>
  <w:num w:numId="24">
    <w:abstractNumId w:val="1"/>
  </w:num>
  <w:num w:numId="25">
    <w:abstractNumId w:val="18"/>
  </w:num>
  <w:num w:numId="26">
    <w:abstractNumId w:val="4"/>
  </w:num>
  <w:num w:numId="27">
    <w:abstractNumId w:val="10"/>
  </w:num>
  <w:num w:numId="28">
    <w:abstractNumId w:val="19"/>
  </w:num>
  <w:num w:numId="29">
    <w:abstractNumId w:val="27"/>
  </w:num>
  <w:num w:numId="30">
    <w:abstractNumId w:val="16"/>
  </w:num>
  <w:num w:numId="31">
    <w:abstractNumId w:val="22"/>
  </w:num>
  <w:num w:numId="32">
    <w:abstractNumId w:val="28"/>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59F66265-E8A3-4DE1-9B89-4E741C0F20BB}">
  <ds:schemaRefs>
    <ds:schemaRef ds:uri="http://schemas.openxmlformats.org/officeDocument/2006/bibliography"/>
  </ds:schemaRefs>
</ds:datastoreItem>
</file>

<file path=customXml/itemProps7.xml><?xml version="1.0" encoding="utf-8"?>
<ds:datastoreItem xmlns:ds="http://schemas.openxmlformats.org/officeDocument/2006/customXml" ds:itemID="{6BE3B14A-F4F0-431A-932F-98A0BFE4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136</cp:revision>
  <cp:lastPrinted>2010-08-13T21:54:00Z</cp:lastPrinted>
  <dcterms:created xsi:type="dcterms:W3CDTF">2016-09-30T03:35:00Z</dcterms:created>
  <dcterms:modified xsi:type="dcterms:W3CDTF">2017-02-03T16:53:00Z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